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ADE85" w14:textId="1D11A8B2" w:rsidR="000B72FD" w:rsidRPr="00273D37" w:rsidRDefault="000B72FD" w:rsidP="000B72FD">
      <w:pPr>
        <w:pBdr>
          <w:top w:val="nil"/>
          <w:left w:val="nil"/>
          <w:bottom w:val="nil"/>
          <w:right w:val="nil"/>
          <w:between w:val="nil"/>
        </w:pBdr>
        <w:tabs>
          <w:tab w:val="center" w:pos="4536"/>
          <w:tab w:val="right" w:pos="9072"/>
        </w:tabs>
        <w:spacing w:after="0" w:line="240" w:lineRule="auto"/>
        <w:ind w:left="0" w:hanging="2"/>
        <w:jc w:val="both"/>
        <w:rPr>
          <w:b/>
          <w:sz w:val="16"/>
          <w:szCs w:val="16"/>
        </w:rPr>
      </w:pPr>
      <w:r w:rsidRPr="00273D37">
        <w:rPr>
          <w:b/>
          <w:sz w:val="16"/>
          <w:szCs w:val="16"/>
        </w:rPr>
        <w:t xml:space="preserve">Załącznik nr </w:t>
      </w:r>
      <w:r w:rsidR="00653811">
        <w:rPr>
          <w:b/>
          <w:sz w:val="16"/>
          <w:szCs w:val="16"/>
        </w:rPr>
        <w:t>6.</w:t>
      </w:r>
      <w:bookmarkStart w:id="0" w:name="_GoBack"/>
      <w:bookmarkEnd w:id="0"/>
      <w:r w:rsidRPr="00273D37">
        <w:rPr>
          <w:b/>
          <w:sz w:val="16"/>
          <w:szCs w:val="16"/>
        </w:rPr>
        <w:t xml:space="preserve">1 do Regulaminu dotyczącego realizacji przedsięwzięć inwestycyjnych w ramach Lokalnych inicjatyw społecznych na obszarach rewitalizacji gmin SSW </w:t>
      </w:r>
    </w:p>
    <w:p w14:paraId="46B764A4" w14:textId="77777777" w:rsidR="000B72FD" w:rsidRDefault="000B72FD" w:rsidP="000B72FD">
      <w:pPr>
        <w:ind w:left="0" w:hanging="2"/>
      </w:pPr>
    </w:p>
    <w:p w14:paraId="049CB6A2" w14:textId="77777777" w:rsidR="000B72FD" w:rsidRPr="00F641E5" w:rsidRDefault="000B72FD" w:rsidP="000B72FD">
      <w:pPr>
        <w:pBdr>
          <w:top w:val="nil"/>
          <w:left w:val="nil"/>
          <w:bottom w:val="nil"/>
          <w:right w:val="nil"/>
          <w:between w:val="nil"/>
        </w:pBdr>
        <w:spacing w:after="0"/>
        <w:ind w:left="0" w:hanging="2"/>
        <w:jc w:val="center"/>
        <w:rPr>
          <w:sz w:val="20"/>
          <w:szCs w:val="20"/>
        </w:rPr>
      </w:pPr>
      <w:r w:rsidRPr="00F641E5">
        <w:rPr>
          <w:b/>
          <w:sz w:val="20"/>
          <w:szCs w:val="20"/>
        </w:rPr>
        <w:t>ZASADY WYBORU CZŁONKÓW I PRAC KOMISJI OCENIAJĄCEJ</w:t>
      </w:r>
    </w:p>
    <w:p w14:paraId="0B170A2B" w14:textId="77777777" w:rsidR="000B72FD" w:rsidRDefault="000B72FD" w:rsidP="000B72FD">
      <w:pPr>
        <w:pBdr>
          <w:top w:val="nil"/>
          <w:left w:val="nil"/>
          <w:bottom w:val="nil"/>
          <w:right w:val="nil"/>
          <w:between w:val="nil"/>
        </w:pBdr>
        <w:spacing w:after="0"/>
        <w:ind w:left="0" w:hanging="2"/>
        <w:jc w:val="center"/>
        <w:rPr>
          <w:sz w:val="20"/>
          <w:szCs w:val="20"/>
        </w:rPr>
      </w:pPr>
      <w:r w:rsidRPr="00F641E5">
        <w:rPr>
          <w:sz w:val="20"/>
          <w:szCs w:val="20"/>
        </w:rPr>
        <w:t>w związku z realizacją projektu p</w:t>
      </w:r>
      <w:r>
        <w:rPr>
          <w:sz w:val="20"/>
          <w:szCs w:val="20"/>
        </w:rPr>
        <w:t>n.: „ Poszukiwacze zaginionych inicjatyw</w:t>
      </w:r>
      <w:r w:rsidRPr="00F641E5">
        <w:rPr>
          <w:sz w:val="20"/>
          <w:szCs w:val="20"/>
        </w:rPr>
        <w:t>”</w:t>
      </w:r>
      <w:r>
        <w:rPr>
          <w:sz w:val="20"/>
          <w:szCs w:val="20"/>
        </w:rPr>
        <w:t xml:space="preserve"> </w:t>
      </w:r>
    </w:p>
    <w:p w14:paraId="0DEDD8A2" w14:textId="77777777" w:rsidR="000B72FD" w:rsidRPr="005E6B2F" w:rsidRDefault="000B72FD" w:rsidP="000B72FD">
      <w:pPr>
        <w:pBdr>
          <w:top w:val="nil"/>
          <w:left w:val="nil"/>
          <w:bottom w:val="nil"/>
          <w:right w:val="nil"/>
          <w:between w:val="nil"/>
        </w:pBdr>
        <w:spacing w:after="0"/>
        <w:ind w:left="0" w:hanging="2"/>
        <w:jc w:val="center"/>
        <w:rPr>
          <w:color w:val="000000" w:themeColor="text1"/>
          <w:sz w:val="20"/>
          <w:szCs w:val="20"/>
        </w:rPr>
      </w:pPr>
      <w:r w:rsidRPr="005E6B2F">
        <w:rPr>
          <w:color w:val="000000" w:themeColor="text1"/>
          <w:sz w:val="20"/>
          <w:szCs w:val="20"/>
        </w:rPr>
        <w:t>nr projektu RPZP.07.01.00-32-K103/18</w:t>
      </w:r>
    </w:p>
    <w:p w14:paraId="789C7D7D" w14:textId="77777777" w:rsidR="000B72FD" w:rsidRPr="005E6B2F" w:rsidRDefault="000B72FD" w:rsidP="000B72FD">
      <w:pPr>
        <w:pBdr>
          <w:top w:val="nil"/>
          <w:left w:val="nil"/>
          <w:bottom w:val="nil"/>
          <w:right w:val="nil"/>
          <w:between w:val="nil"/>
        </w:pBdr>
        <w:spacing w:after="0"/>
        <w:ind w:left="0" w:hanging="2"/>
        <w:jc w:val="both"/>
        <w:rPr>
          <w:color w:val="000000" w:themeColor="text1"/>
          <w:sz w:val="20"/>
          <w:szCs w:val="20"/>
        </w:rPr>
      </w:pPr>
    </w:p>
    <w:p w14:paraId="26871EEB" w14:textId="77777777" w:rsidR="000B72FD" w:rsidRPr="005E6B2F" w:rsidRDefault="000B72FD" w:rsidP="000B72FD">
      <w:pPr>
        <w:pStyle w:val="Akapitzlist"/>
        <w:numPr>
          <w:ilvl w:val="0"/>
          <w:numId w:val="1"/>
        </w:numPr>
        <w:pBdr>
          <w:top w:val="nil"/>
          <w:left w:val="nil"/>
          <w:bottom w:val="nil"/>
          <w:right w:val="nil"/>
          <w:between w:val="nil"/>
        </w:pBdr>
        <w:spacing w:after="0"/>
        <w:ind w:leftChars="0" w:firstLineChars="0"/>
        <w:jc w:val="both"/>
        <w:rPr>
          <w:color w:val="000000" w:themeColor="text1"/>
          <w:sz w:val="20"/>
          <w:szCs w:val="20"/>
        </w:rPr>
      </w:pPr>
      <w:r w:rsidRPr="005E6B2F">
        <w:rPr>
          <w:color w:val="000000" w:themeColor="text1"/>
          <w:sz w:val="20"/>
          <w:szCs w:val="20"/>
        </w:rPr>
        <w:t>W ramach ogłoszonego konkursu planuje się przyznanie środków finansowych na realizację:</w:t>
      </w:r>
    </w:p>
    <w:p w14:paraId="28B9F69D" w14:textId="77777777" w:rsidR="000B72FD" w:rsidRPr="005E6B2F" w:rsidRDefault="000B72FD" w:rsidP="000B72FD">
      <w:pPr>
        <w:pStyle w:val="Akapitzlist"/>
        <w:numPr>
          <w:ilvl w:val="0"/>
          <w:numId w:val="2"/>
        </w:numPr>
        <w:pBdr>
          <w:top w:val="nil"/>
          <w:left w:val="nil"/>
          <w:bottom w:val="nil"/>
          <w:right w:val="nil"/>
          <w:between w:val="nil"/>
        </w:pBdr>
        <w:suppressAutoHyphens w:val="0"/>
        <w:spacing w:after="0"/>
        <w:ind w:leftChars="0" w:firstLineChars="0"/>
        <w:jc w:val="both"/>
        <w:textDirection w:val="lrTb"/>
        <w:textAlignment w:val="auto"/>
        <w:outlineLvl w:val="9"/>
        <w:rPr>
          <w:color w:val="000000" w:themeColor="text1"/>
          <w:sz w:val="20"/>
          <w:szCs w:val="20"/>
        </w:rPr>
      </w:pPr>
      <w:r w:rsidRPr="005E6B2F">
        <w:rPr>
          <w:color w:val="000000" w:themeColor="text1"/>
          <w:sz w:val="20"/>
          <w:szCs w:val="20"/>
        </w:rPr>
        <w:t xml:space="preserve">Minimum 16 lokalnych inicjatyw na terenie działania Stowarzyszenia „Lider Pojezierza” (Lider projektu/Wnioskodawca/Partner nr1), czyli Gminy: </w:t>
      </w:r>
      <w:r w:rsidRPr="005E6B2F">
        <w:rPr>
          <w:rFonts w:asciiTheme="minorHAnsi" w:eastAsia="Arial" w:hAnsiTheme="minorHAnsi" w:cstheme="minorHAnsi"/>
          <w:color w:val="000000" w:themeColor="text1"/>
          <w:sz w:val="20"/>
          <w:szCs w:val="20"/>
        </w:rPr>
        <w:t>Choszczno, Pełczyce, Recz, Trzcińsko-Zdrój, Boleszkowice, Lipiany, Przelewice, Pyrzyce</w:t>
      </w:r>
      <w:bookmarkStart w:id="1" w:name="_Hlk37839838"/>
      <w:r w:rsidRPr="005E6B2F">
        <w:rPr>
          <w:rFonts w:asciiTheme="minorHAnsi" w:eastAsia="Arial" w:hAnsiTheme="minorHAnsi" w:cstheme="minorHAnsi"/>
          <w:color w:val="000000" w:themeColor="text1"/>
          <w:sz w:val="20"/>
          <w:szCs w:val="20"/>
        </w:rPr>
        <w:t xml:space="preserve"> w wysokości</w:t>
      </w:r>
      <w:bookmarkStart w:id="2" w:name="_Hlk37839964"/>
      <w:r w:rsidRPr="005E6B2F">
        <w:rPr>
          <w:rFonts w:asciiTheme="minorHAnsi" w:eastAsia="Arial" w:hAnsiTheme="minorHAnsi" w:cstheme="minorHAnsi"/>
          <w:color w:val="000000" w:themeColor="text1"/>
          <w:sz w:val="20"/>
          <w:szCs w:val="20"/>
        </w:rPr>
        <w:t xml:space="preserve"> do 18 000,00 zł </w:t>
      </w:r>
      <w:bookmarkStart w:id="3" w:name="_Hlk42589748"/>
      <w:r w:rsidRPr="005E6B2F">
        <w:rPr>
          <w:rFonts w:asciiTheme="minorHAnsi" w:eastAsia="Arial" w:hAnsiTheme="minorHAnsi" w:cstheme="minorHAnsi"/>
          <w:color w:val="000000" w:themeColor="text1"/>
          <w:sz w:val="20"/>
          <w:szCs w:val="20"/>
        </w:rPr>
        <w:t>każdy w drodze minimum jednego naboru</w:t>
      </w:r>
      <w:bookmarkEnd w:id="1"/>
      <w:bookmarkEnd w:id="2"/>
      <w:r w:rsidRPr="005E6B2F">
        <w:rPr>
          <w:rFonts w:asciiTheme="minorHAnsi" w:eastAsia="Arial" w:hAnsiTheme="minorHAnsi" w:cstheme="minorHAnsi"/>
          <w:color w:val="000000" w:themeColor="text1"/>
          <w:sz w:val="20"/>
          <w:szCs w:val="20"/>
        </w:rPr>
        <w:t>;</w:t>
      </w:r>
    </w:p>
    <w:bookmarkEnd w:id="3"/>
    <w:p w14:paraId="0136A554" w14:textId="77777777" w:rsidR="000B72FD" w:rsidRPr="005E6B2F" w:rsidRDefault="000B72FD" w:rsidP="000B72FD">
      <w:pPr>
        <w:pStyle w:val="Akapitzlist"/>
        <w:pBdr>
          <w:top w:val="nil"/>
          <w:left w:val="nil"/>
          <w:bottom w:val="nil"/>
          <w:right w:val="nil"/>
          <w:between w:val="nil"/>
        </w:pBdr>
        <w:suppressAutoHyphens w:val="0"/>
        <w:spacing w:after="0"/>
        <w:ind w:leftChars="0" w:left="1078" w:firstLineChars="0" w:firstLine="0"/>
        <w:jc w:val="both"/>
        <w:textDirection w:val="lrTb"/>
        <w:textAlignment w:val="auto"/>
        <w:outlineLvl w:val="9"/>
        <w:rPr>
          <w:color w:val="000000" w:themeColor="text1"/>
          <w:sz w:val="20"/>
          <w:szCs w:val="20"/>
        </w:rPr>
      </w:pPr>
      <w:r w:rsidRPr="005E6B2F">
        <w:rPr>
          <w:color w:val="000000" w:themeColor="text1"/>
          <w:sz w:val="20"/>
          <w:szCs w:val="20"/>
        </w:rPr>
        <w:t>Kwota jaką dysponuje Lider Projektu na realizację Przedsięwzięć inwestycyjnych to 288 000,00 zł.</w:t>
      </w:r>
    </w:p>
    <w:p w14:paraId="28713526" w14:textId="77777777" w:rsidR="000B72FD" w:rsidRPr="005E6B2F" w:rsidRDefault="000B72FD" w:rsidP="000B72FD">
      <w:pPr>
        <w:pStyle w:val="Akapitzlist"/>
        <w:numPr>
          <w:ilvl w:val="0"/>
          <w:numId w:val="2"/>
        </w:numPr>
        <w:pBdr>
          <w:top w:val="nil"/>
          <w:left w:val="nil"/>
          <w:bottom w:val="nil"/>
          <w:right w:val="nil"/>
          <w:between w:val="nil"/>
        </w:pBdr>
        <w:suppressAutoHyphens w:val="0"/>
        <w:spacing w:after="0"/>
        <w:ind w:leftChars="0" w:firstLineChars="0"/>
        <w:jc w:val="both"/>
        <w:textDirection w:val="lrTb"/>
        <w:textAlignment w:val="auto"/>
        <w:outlineLvl w:val="9"/>
        <w:rPr>
          <w:color w:val="000000" w:themeColor="text1"/>
          <w:sz w:val="20"/>
          <w:szCs w:val="20"/>
        </w:rPr>
      </w:pPr>
      <w:r w:rsidRPr="005E6B2F">
        <w:rPr>
          <w:color w:val="000000" w:themeColor="text1"/>
          <w:sz w:val="20"/>
          <w:szCs w:val="20"/>
        </w:rPr>
        <w:t xml:space="preserve">Minimum 12 lokalnych inicjatyw na terenie działania Fundacji Pod Aniołem (Partner nr 2), czyli  </w:t>
      </w:r>
      <w:r w:rsidRPr="005E6B2F">
        <w:rPr>
          <w:rFonts w:asciiTheme="minorHAnsi" w:hAnsiTheme="minorHAnsi" w:cstheme="minorHAnsi"/>
          <w:color w:val="000000" w:themeColor="text1"/>
          <w:sz w:val="20"/>
          <w:szCs w:val="20"/>
        </w:rPr>
        <w:t xml:space="preserve">Gminy: </w:t>
      </w:r>
      <w:r w:rsidRPr="005E6B2F">
        <w:rPr>
          <w:rFonts w:asciiTheme="minorHAnsi" w:eastAsia="Arial" w:hAnsiTheme="minorHAnsi" w:cstheme="minorHAnsi"/>
          <w:color w:val="000000" w:themeColor="text1"/>
          <w:sz w:val="20"/>
          <w:szCs w:val="20"/>
        </w:rPr>
        <w:t>Banie, Cedynia, Mieszkowice, Widuchowa, Bielice, Warnice w wysokości do 18 000 zł każdy w drodze minimum jednego naboru;</w:t>
      </w:r>
    </w:p>
    <w:p w14:paraId="1A10BE09" w14:textId="77777777" w:rsidR="000B72FD" w:rsidRPr="005E6B2F" w:rsidRDefault="000B72FD" w:rsidP="000B72FD">
      <w:pPr>
        <w:pStyle w:val="Akapitzlist"/>
        <w:pBdr>
          <w:top w:val="nil"/>
          <w:left w:val="nil"/>
          <w:bottom w:val="nil"/>
          <w:right w:val="nil"/>
          <w:between w:val="nil"/>
        </w:pBdr>
        <w:suppressAutoHyphens w:val="0"/>
        <w:spacing w:after="0"/>
        <w:ind w:leftChars="0" w:left="1078" w:firstLineChars="0" w:firstLine="0"/>
        <w:jc w:val="both"/>
        <w:textDirection w:val="lrTb"/>
        <w:textAlignment w:val="auto"/>
        <w:outlineLvl w:val="9"/>
        <w:rPr>
          <w:color w:val="000000" w:themeColor="text1"/>
          <w:sz w:val="20"/>
          <w:szCs w:val="20"/>
        </w:rPr>
      </w:pPr>
      <w:r w:rsidRPr="005E6B2F">
        <w:rPr>
          <w:color w:val="000000" w:themeColor="text1"/>
          <w:sz w:val="20"/>
          <w:szCs w:val="20"/>
        </w:rPr>
        <w:t>Kwota jaką dysponuje Partner nr 2 na realizację Przedsięwzięć inwestycyjnych to 216 000,00 zł.</w:t>
      </w:r>
    </w:p>
    <w:p w14:paraId="0F572C56" w14:textId="77777777" w:rsidR="000B72FD" w:rsidRPr="005E6B2F" w:rsidRDefault="000B72FD" w:rsidP="000B72FD">
      <w:pPr>
        <w:pStyle w:val="Akapitzlist"/>
        <w:numPr>
          <w:ilvl w:val="0"/>
          <w:numId w:val="2"/>
        </w:numPr>
        <w:pBdr>
          <w:top w:val="nil"/>
          <w:left w:val="nil"/>
          <w:bottom w:val="nil"/>
          <w:right w:val="nil"/>
          <w:between w:val="nil"/>
        </w:pBdr>
        <w:suppressAutoHyphens w:val="0"/>
        <w:spacing w:after="0"/>
        <w:ind w:leftChars="0" w:firstLineChars="0"/>
        <w:jc w:val="both"/>
        <w:textDirection w:val="lrTb"/>
        <w:textAlignment w:val="auto"/>
        <w:outlineLvl w:val="9"/>
        <w:rPr>
          <w:color w:val="000000" w:themeColor="text1"/>
          <w:sz w:val="20"/>
          <w:szCs w:val="20"/>
        </w:rPr>
      </w:pPr>
      <w:r w:rsidRPr="005E6B2F">
        <w:rPr>
          <w:rFonts w:asciiTheme="minorHAnsi" w:hAnsiTheme="minorHAnsi" w:cstheme="minorHAnsi"/>
          <w:color w:val="000000" w:themeColor="text1"/>
          <w:sz w:val="20"/>
          <w:szCs w:val="20"/>
        </w:rPr>
        <w:t xml:space="preserve">Minimum 16 lokalnych inicjatyw na terenie działania Fundacji Nauka dla Środowiska (Partner nr 3), czyli Gminy: </w:t>
      </w:r>
      <w:r w:rsidRPr="005E6B2F">
        <w:rPr>
          <w:rFonts w:asciiTheme="minorHAnsi" w:eastAsia="Arial" w:hAnsiTheme="minorHAnsi" w:cstheme="minorHAnsi"/>
          <w:color w:val="000000" w:themeColor="text1"/>
          <w:sz w:val="20"/>
          <w:szCs w:val="20"/>
        </w:rPr>
        <w:t>Czaplinek, Kalisz Pomorski, Wierzchowo, Złocieniec, Człopa, Mirosławiec, Gmina Wałcz, Miasto Wałcz w wysokości do 18 000,00 zł każda w drodze minimum jednego naboru;</w:t>
      </w:r>
    </w:p>
    <w:p w14:paraId="1E4C9EE5" w14:textId="77777777" w:rsidR="000B72FD" w:rsidRPr="005E6B2F" w:rsidRDefault="000B72FD" w:rsidP="000B72FD">
      <w:pPr>
        <w:pStyle w:val="Akapitzlist"/>
        <w:pBdr>
          <w:top w:val="nil"/>
          <w:left w:val="nil"/>
          <w:bottom w:val="nil"/>
          <w:right w:val="nil"/>
          <w:between w:val="nil"/>
        </w:pBdr>
        <w:suppressAutoHyphens w:val="0"/>
        <w:spacing w:after="0"/>
        <w:ind w:leftChars="0" w:left="1078" w:firstLineChars="0" w:firstLine="0"/>
        <w:jc w:val="both"/>
        <w:textDirection w:val="lrTb"/>
        <w:textAlignment w:val="auto"/>
        <w:outlineLvl w:val="9"/>
        <w:rPr>
          <w:color w:val="000000" w:themeColor="text1"/>
          <w:sz w:val="20"/>
          <w:szCs w:val="20"/>
        </w:rPr>
      </w:pPr>
      <w:r w:rsidRPr="005E6B2F">
        <w:rPr>
          <w:color w:val="000000" w:themeColor="text1"/>
          <w:sz w:val="20"/>
          <w:szCs w:val="20"/>
        </w:rPr>
        <w:t>Kwota jaką dysponuje Partner nr 3 na realizację Przedsięwzięć inwestycyjnych to 288 000,00 zł.</w:t>
      </w:r>
    </w:p>
    <w:p w14:paraId="7C78897F" w14:textId="77777777" w:rsidR="000B72FD" w:rsidRPr="00745B49" w:rsidRDefault="000B72FD" w:rsidP="000B72FD">
      <w:pPr>
        <w:pStyle w:val="Akapitzlist"/>
        <w:numPr>
          <w:ilvl w:val="0"/>
          <w:numId w:val="1"/>
        </w:numPr>
        <w:pBdr>
          <w:top w:val="nil"/>
          <w:left w:val="nil"/>
          <w:bottom w:val="nil"/>
          <w:right w:val="nil"/>
          <w:between w:val="nil"/>
        </w:pBdr>
        <w:spacing w:after="0"/>
        <w:ind w:leftChars="0" w:firstLineChars="0"/>
        <w:jc w:val="both"/>
        <w:rPr>
          <w:sz w:val="20"/>
          <w:szCs w:val="20"/>
        </w:rPr>
      </w:pPr>
      <w:r w:rsidRPr="00745B49">
        <w:rPr>
          <w:sz w:val="20"/>
          <w:szCs w:val="20"/>
        </w:rPr>
        <w:t>Wsparcie przyznawane jest z uwzględnieniem gmin objętych wsparciem w projekcie, niemniej jednak nie ma ograniczeń co do ilości projektów składanych z terenu każdej gminy, a o przyjęciu projektów do realizacji decyduje kolejność na liście rankingowej.</w:t>
      </w:r>
    </w:p>
    <w:p w14:paraId="373FCE94" w14:textId="77777777" w:rsidR="000B72FD" w:rsidRPr="00745B49" w:rsidRDefault="000B72FD" w:rsidP="000B72FD">
      <w:pPr>
        <w:pStyle w:val="Akapitzlist"/>
        <w:numPr>
          <w:ilvl w:val="0"/>
          <w:numId w:val="1"/>
        </w:numPr>
        <w:pBdr>
          <w:top w:val="nil"/>
          <w:left w:val="nil"/>
          <w:bottom w:val="nil"/>
          <w:right w:val="nil"/>
          <w:between w:val="nil"/>
        </w:pBdr>
        <w:spacing w:after="0"/>
        <w:ind w:leftChars="0" w:firstLineChars="0"/>
        <w:jc w:val="both"/>
        <w:rPr>
          <w:sz w:val="20"/>
          <w:szCs w:val="20"/>
        </w:rPr>
      </w:pPr>
      <w:r w:rsidRPr="00745B49">
        <w:rPr>
          <w:sz w:val="20"/>
          <w:szCs w:val="20"/>
        </w:rPr>
        <w:t xml:space="preserve">Członkowie Komisji Oceniającej są wybrani przez Beneficjenta, w liczbie </w:t>
      </w:r>
      <w:r w:rsidRPr="006555DB">
        <w:rPr>
          <w:sz w:val="20"/>
          <w:szCs w:val="20"/>
        </w:rPr>
        <w:t>3 osób</w:t>
      </w:r>
      <w:r>
        <w:rPr>
          <w:sz w:val="20"/>
          <w:szCs w:val="20"/>
        </w:rPr>
        <w:t>,</w:t>
      </w:r>
      <w:r w:rsidRPr="006555DB">
        <w:rPr>
          <w:sz w:val="20"/>
          <w:szCs w:val="20"/>
        </w:rPr>
        <w:t xml:space="preserve"> </w:t>
      </w:r>
      <w:r>
        <w:rPr>
          <w:sz w:val="20"/>
          <w:szCs w:val="20"/>
        </w:rPr>
        <w:t>s</w:t>
      </w:r>
      <w:r w:rsidRPr="00745B49">
        <w:rPr>
          <w:sz w:val="20"/>
          <w:szCs w:val="20"/>
        </w:rPr>
        <w:t>pośród, których wybrany zostanie Przewodniczący Komisji.</w:t>
      </w:r>
    </w:p>
    <w:p w14:paraId="25E4C22F" w14:textId="77777777" w:rsidR="000B72FD" w:rsidRPr="00745B49" w:rsidRDefault="000B72FD" w:rsidP="000B72FD">
      <w:pPr>
        <w:pStyle w:val="Akapitzlist"/>
        <w:numPr>
          <w:ilvl w:val="0"/>
          <w:numId w:val="1"/>
        </w:numPr>
        <w:pBdr>
          <w:top w:val="nil"/>
          <w:left w:val="nil"/>
          <w:bottom w:val="nil"/>
          <w:right w:val="nil"/>
          <w:between w:val="nil"/>
        </w:pBdr>
        <w:spacing w:after="0"/>
        <w:ind w:leftChars="0" w:firstLineChars="0"/>
        <w:jc w:val="both"/>
        <w:rPr>
          <w:sz w:val="20"/>
          <w:szCs w:val="20"/>
        </w:rPr>
      </w:pPr>
      <w:r w:rsidRPr="00745B49">
        <w:rPr>
          <w:sz w:val="20"/>
          <w:szCs w:val="20"/>
        </w:rPr>
        <w:t>Pracami Komisji Oceniającej kieruje Przewodniczący</w:t>
      </w:r>
      <w:r>
        <w:rPr>
          <w:sz w:val="20"/>
          <w:szCs w:val="20"/>
        </w:rPr>
        <w:t>.</w:t>
      </w:r>
    </w:p>
    <w:p w14:paraId="53FA4450" w14:textId="77777777" w:rsidR="000B72FD" w:rsidRPr="00745B49" w:rsidRDefault="000B72FD" w:rsidP="000B72FD">
      <w:pPr>
        <w:pStyle w:val="Akapitzlist"/>
        <w:numPr>
          <w:ilvl w:val="0"/>
          <w:numId w:val="1"/>
        </w:numPr>
        <w:pBdr>
          <w:top w:val="nil"/>
          <w:left w:val="nil"/>
          <w:bottom w:val="nil"/>
          <w:right w:val="nil"/>
          <w:between w:val="nil"/>
        </w:pBdr>
        <w:spacing w:after="0"/>
        <w:ind w:leftChars="0" w:firstLineChars="0"/>
        <w:jc w:val="both"/>
        <w:rPr>
          <w:sz w:val="20"/>
          <w:szCs w:val="20"/>
        </w:rPr>
      </w:pPr>
      <w:r w:rsidRPr="00745B49">
        <w:rPr>
          <w:sz w:val="20"/>
          <w:szCs w:val="20"/>
        </w:rPr>
        <w:t>Członkami Komisji Oceniającej Wnioski mogą zostać m.in. przedstawiciele Beneficjenta, środowisk lokalnych i ekspertów w obszarze rewitalizacji i/lub planowanych przedsięwzięć inwestycyjnych.</w:t>
      </w:r>
    </w:p>
    <w:p w14:paraId="431B9697" w14:textId="77777777" w:rsidR="000B72FD" w:rsidRPr="00745B49" w:rsidRDefault="000B72FD" w:rsidP="000B72FD">
      <w:pPr>
        <w:pStyle w:val="Akapitzlist"/>
        <w:numPr>
          <w:ilvl w:val="0"/>
          <w:numId w:val="1"/>
        </w:numPr>
        <w:pBdr>
          <w:top w:val="nil"/>
          <w:left w:val="nil"/>
          <w:bottom w:val="nil"/>
          <w:right w:val="nil"/>
          <w:between w:val="nil"/>
        </w:pBdr>
        <w:spacing w:after="0"/>
        <w:ind w:leftChars="0" w:firstLineChars="0"/>
        <w:jc w:val="both"/>
        <w:rPr>
          <w:sz w:val="20"/>
          <w:szCs w:val="20"/>
        </w:rPr>
      </w:pPr>
      <w:r w:rsidRPr="00745B49">
        <w:rPr>
          <w:sz w:val="20"/>
          <w:szCs w:val="20"/>
        </w:rPr>
        <w:t xml:space="preserve">W </w:t>
      </w:r>
      <w:r>
        <w:rPr>
          <w:sz w:val="20"/>
          <w:szCs w:val="20"/>
        </w:rPr>
        <w:t xml:space="preserve">pracach </w:t>
      </w:r>
      <w:r w:rsidRPr="00745B49">
        <w:rPr>
          <w:sz w:val="20"/>
          <w:szCs w:val="20"/>
        </w:rPr>
        <w:t>Komisji Oceniającej nie mogą</w:t>
      </w:r>
      <w:r>
        <w:rPr>
          <w:sz w:val="20"/>
          <w:szCs w:val="20"/>
        </w:rPr>
        <w:t xml:space="preserve"> uczestniczyć </w:t>
      </w:r>
      <w:r w:rsidRPr="00745B49">
        <w:rPr>
          <w:sz w:val="20"/>
          <w:szCs w:val="20"/>
        </w:rPr>
        <w:t>członkowie grup inicjatywnych biorących udział w ogłoszonym naborze.</w:t>
      </w:r>
      <w:r>
        <w:rPr>
          <w:sz w:val="20"/>
          <w:szCs w:val="20"/>
        </w:rPr>
        <w:t xml:space="preserve"> Członkami komisji nie będą również animatorzy i </w:t>
      </w:r>
      <w:proofErr w:type="spellStart"/>
      <w:r>
        <w:rPr>
          <w:sz w:val="20"/>
          <w:szCs w:val="20"/>
        </w:rPr>
        <w:t>facylitatorzy</w:t>
      </w:r>
      <w:proofErr w:type="spellEnd"/>
      <w:r>
        <w:rPr>
          <w:sz w:val="20"/>
          <w:szCs w:val="20"/>
        </w:rPr>
        <w:t xml:space="preserve"> pracujący z grupami inicjatywnymi w ramach projektu pn.: „Poszukiwacze zaginionych inicjatyw”. </w:t>
      </w:r>
    </w:p>
    <w:p w14:paraId="146CFD6B" w14:textId="77777777" w:rsidR="000B72FD" w:rsidRPr="00745B49" w:rsidRDefault="000B72FD" w:rsidP="000B72FD">
      <w:pPr>
        <w:pStyle w:val="Akapitzlist"/>
        <w:numPr>
          <w:ilvl w:val="0"/>
          <w:numId w:val="1"/>
        </w:numPr>
        <w:pBdr>
          <w:top w:val="nil"/>
          <w:left w:val="nil"/>
          <w:bottom w:val="nil"/>
          <w:right w:val="nil"/>
          <w:between w:val="nil"/>
        </w:pBdr>
        <w:spacing w:after="0"/>
        <w:ind w:leftChars="0" w:firstLineChars="0"/>
        <w:jc w:val="both"/>
        <w:rPr>
          <w:sz w:val="20"/>
          <w:szCs w:val="20"/>
        </w:rPr>
      </w:pPr>
      <w:r w:rsidRPr="00745B49">
        <w:rPr>
          <w:sz w:val="20"/>
          <w:szCs w:val="20"/>
        </w:rPr>
        <w:t>Członkowie Komisji Oceniającej będą zobowiązani do podjęcia się oceny przedłożonych przez grupy inicjatywne (Wnioskodawc</w:t>
      </w:r>
      <w:r>
        <w:rPr>
          <w:sz w:val="20"/>
          <w:szCs w:val="20"/>
        </w:rPr>
        <w:t>ów</w:t>
      </w:r>
      <w:r w:rsidRPr="00745B49">
        <w:rPr>
          <w:sz w:val="20"/>
          <w:szCs w:val="20"/>
        </w:rPr>
        <w:t>) wniosków o środki inwestycyjne w terminie określonym w zamieszczonym ogłoszeniu konkursowym na podstawie dostępnych dokumentów i/lub uzyskanych wyjaśnień.</w:t>
      </w:r>
    </w:p>
    <w:p w14:paraId="3442AE30" w14:textId="77777777" w:rsidR="000B72FD" w:rsidRDefault="000B72FD" w:rsidP="000B72FD">
      <w:pPr>
        <w:pStyle w:val="Akapitzlist"/>
        <w:numPr>
          <w:ilvl w:val="0"/>
          <w:numId w:val="1"/>
        </w:numPr>
        <w:pBdr>
          <w:top w:val="nil"/>
          <w:left w:val="nil"/>
          <w:bottom w:val="nil"/>
          <w:right w:val="nil"/>
          <w:between w:val="nil"/>
        </w:pBdr>
        <w:spacing w:after="0"/>
        <w:ind w:leftChars="0" w:firstLineChars="0"/>
        <w:jc w:val="both"/>
        <w:rPr>
          <w:sz w:val="20"/>
          <w:szCs w:val="20"/>
        </w:rPr>
      </w:pPr>
      <w:r>
        <w:rPr>
          <w:sz w:val="20"/>
          <w:szCs w:val="20"/>
        </w:rPr>
        <w:t>Zasady oceny wniosków:</w:t>
      </w:r>
    </w:p>
    <w:p w14:paraId="7D2149BD" w14:textId="77777777" w:rsidR="000B72FD" w:rsidRDefault="000B72FD" w:rsidP="000B72FD">
      <w:pPr>
        <w:pStyle w:val="Akapitzlist"/>
        <w:numPr>
          <w:ilvl w:val="0"/>
          <w:numId w:val="3"/>
        </w:numPr>
        <w:pBdr>
          <w:top w:val="nil"/>
          <w:left w:val="nil"/>
          <w:bottom w:val="nil"/>
          <w:right w:val="nil"/>
          <w:between w:val="nil"/>
        </w:pBdr>
        <w:spacing w:after="0"/>
        <w:ind w:leftChars="0" w:firstLineChars="0"/>
        <w:jc w:val="both"/>
        <w:rPr>
          <w:sz w:val="20"/>
          <w:szCs w:val="20"/>
        </w:rPr>
      </w:pPr>
      <w:r w:rsidRPr="00EF5A9B">
        <w:rPr>
          <w:sz w:val="20"/>
          <w:szCs w:val="20"/>
        </w:rPr>
        <w:t xml:space="preserve">Ocena dokonywana jest zgodnie z zapisami Regulaminu dotyczącego realizacji przedsięwzięć inwestycyjnych w ramach Lokalnych inicjatyw społecznych na obszarach rewitalizacji gmin SSW oraz wzoru Karty oceny fiszki przedsięwzięcia inwestycyjnego, na podstawie której </w:t>
      </w:r>
      <w:r>
        <w:rPr>
          <w:sz w:val="20"/>
          <w:szCs w:val="20"/>
        </w:rPr>
        <w:t>c</w:t>
      </w:r>
      <w:r w:rsidRPr="00EF5A9B">
        <w:rPr>
          <w:sz w:val="20"/>
          <w:szCs w:val="20"/>
        </w:rPr>
        <w:t xml:space="preserve">złonkowie Komisji Oceniającej mogą przyjąć projekt bez zastrzeżeń lub skierować go do uzupełnienia/poprawy. </w:t>
      </w:r>
    </w:p>
    <w:p w14:paraId="0116E3DB" w14:textId="77777777" w:rsidR="000B72FD" w:rsidRDefault="000B72FD" w:rsidP="000B72FD">
      <w:pPr>
        <w:pStyle w:val="Akapitzlist"/>
        <w:numPr>
          <w:ilvl w:val="0"/>
          <w:numId w:val="3"/>
        </w:numPr>
        <w:pBdr>
          <w:top w:val="nil"/>
          <w:left w:val="nil"/>
          <w:bottom w:val="nil"/>
          <w:right w:val="nil"/>
          <w:between w:val="nil"/>
        </w:pBdr>
        <w:spacing w:after="0"/>
        <w:ind w:leftChars="0" w:firstLineChars="0"/>
        <w:jc w:val="both"/>
        <w:rPr>
          <w:sz w:val="20"/>
          <w:szCs w:val="20"/>
        </w:rPr>
      </w:pPr>
      <w:r>
        <w:rPr>
          <w:sz w:val="20"/>
          <w:szCs w:val="20"/>
        </w:rPr>
        <w:t xml:space="preserve">Każdy wniosek oceniany będzie przez dwóch członków Komisji Oceniającej. </w:t>
      </w:r>
    </w:p>
    <w:p w14:paraId="662FF656" w14:textId="77777777" w:rsidR="000B72FD" w:rsidRDefault="000B72FD" w:rsidP="000B72FD">
      <w:pPr>
        <w:pStyle w:val="Akapitzlist"/>
        <w:numPr>
          <w:ilvl w:val="0"/>
          <w:numId w:val="3"/>
        </w:numPr>
        <w:pBdr>
          <w:top w:val="nil"/>
          <w:left w:val="nil"/>
          <w:bottom w:val="nil"/>
          <w:right w:val="nil"/>
          <w:between w:val="nil"/>
        </w:pBdr>
        <w:spacing w:after="0"/>
        <w:ind w:leftChars="0" w:firstLineChars="0"/>
        <w:jc w:val="both"/>
        <w:rPr>
          <w:sz w:val="20"/>
          <w:szCs w:val="20"/>
        </w:rPr>
      </w:pPr>
      <w:r>
        <w:rPr>
          <w:sz w:val="20"/>
          <w:szCs w:val="20"/>
        </w:rPr>
        <w:t>Ocena polega na przyznaniu punktów za dane kryterium ujęte w karcie oceny fiszki przedsięwzięcia (karta oceny fiszki przedsięwzięcia stanowi załącznik nr 2 do niniejszego Regulaminu).</w:t>
      </w:r>
    </w:p>
    <w:p w14:paraId="590A40C5" w14:textId="77777777" w:rsidR="000B72FD" w:rsidRDefault="000B72FD" w:rsidP="000B72FD">
      <w:pPr>
        <w:pStyle w:val="Akapitzlist"/>
        <w:numPr>
          <w:ilvl w:val="0"/>
          <w:numId w:val="3"/>
        </w:numPr>
        <w:pBdr>
          <w:top w:val="nil"/>
          <w:left w:val="nil"/>
          <w:bottom w:val="nil"/>
          <w:right w:val="nil"/>
          <w:between w:val="nil"/>
        </w:pBdr>
        <w:spacing w:after="0"/>
        <w:ind w:leftChars="0" w:firstLineChars="0"/>
        <w:jc w:val="both"/>
        <w:rPr>
          <w:sz w:val="20"/>
          <w:szCs w:val="20"/>
        </w:rPr>
      </w:pPr>
      <w:r>
        <w:rPr>
          <w:sz w:val="20"/>
          <w:szCs w:val="20"/>
        </w:rPr>
        <w:t>Ocenę kryterium stanowi średnia arytmetyczna punktów przyznanych przez poszczególnych członków KOP w ramach kryterium.</w:t>
      </w:r>
    </w:p>
    <w:p w14:paraId="7963B0B6" w14:textId="77777777" w:rsidR="000B72FD" w:rsidRDefault="000B72FD" w:rsidP="000B72FD">
      <w:pPr>
        <w:pStyle w:val="Akapitzlist"/>
        <w:numPr>
          <w:ilvl w:val="0"/>
          <w:numId w:val="3"/>
        </w:numPr>
        <w:pBdr>
          <w:top w:val="nil"/>
          <w:left w:val="nil"/>
          <w:bottom w:val="nil"/>
          <w:right w:val="nil"/>
          <w:between w:val="nil"/>
        </w:pBdr>
        <w:spacing w:after="0"/>
        <w:ind w:leftChars="0" w:firstLineChars="0"/>
        <w:jc w:val="both"/>
        <w:rPr>
          <w:sz w:val="20"/>
          <w:szCs w:val="20"/>
        </w:rPr>
      </w:pPr>
      <w:r>
        <w:rPr>
          <w:sz w:val="20"/>
          <w:szCs w:val="20"/>
        </w:rPr>
        <w:lastRenderedPageBreak/>
        <w:t>W wyniku przeprowadzenia oceny tworzona jest lista projektów, które spełniły kryteria wyboru projektów i uzyskały wymaganą liczbę punktów (lista rankingowa) oraz listy projektów, które nie uzyskały wymaganej liczby punktów lub nie spełniły kryteriów wyboru projektów. Kolejność projektów na liście rankingowej uzależniona jest od liczby punktów uzyskanych przez projekt.</w:t>
      </w:r>
    </w:p>
    <w:p w14:paraId="007F2C95" w14:textId="77777777" w:rsidR="000B72FD" w:rsidRPr="005545BD" w:rsidRDefault="000B72FD" w:rsidP="000B72FD">
      <w:pPr>
        <w:pStyle w:val="Akapitzlist"/>
        <w:numPr>
          <w:ilvl w:val="0"/>
          <w:numId w:val="3"/>
        </w:numPr>
        <w:pBdr>
          <w:top w:val="nil"/>
          <w:left w:val="nil"/>
          <w:bottom w:val="nil"/>
          <w:right w:val="nil"/>
          <w:between w:val="nil"/>
        </w:pBdr>
        <w:spacing w:after="0"/>
        <w:ind w:leftChars="0" w:firstLineChars="0"/>
        <w:jc w:val="both"/>
        <w:rPr>
          <w:sz w:val="20"/>
          <w:szCs w:val="20"/>
        </w:rPr>
      </w:pPr>
      <w:r>
        <w:rPr>
          <w:sz w:val="20"/>
          <w:szCs w:val="20"/>
        </w:rPr>
        <w:t>Komisja Oceniająca sporządza protokół podsumowujący wyniki naboru i po ich zatwierdzaniu ogłasza wyniki konkursu. Listy projektów publikowane będą na stronie internetowej Beneficjenta (</w:t>
      </w:r>
      <w:hyperlink r:id="rId7" w:history="1">
        <w:r w:rsidRPr="009F1CAC">
          <w:rPr>
            <w:rStyle w:val="Hipercze"/>
            <w:sz w:val="20"/>
            <w:szCs w:val="20"/>
          </w:rPr>
          <w:t>www.liderpojezierza.pl</w:t>
        </w:r>
      </w:hyperlink>
      <w:r w:rsidRPr="009F1CAC">
        <w:rPr>
          <w:sz w:val="20"/>
          <w:szCs w:val="20"/>
        </w:rPr>
        <w:t xml:space="preserve">, </w:t>
      </w:r>
      <w:hyperlink r:id="rId8" w:history="1">
        <w:r w:rsidRPr="009F1CAC">
          <w:rPr>
            <w:rStyle w:val="Hipercze"/>
            <w:sz w:val="20"/>
            <w:szCs w:val="20"/>
          </w:rPr>
          <w:t>www.ndsfund.org</w:t>
        </w:r>
      </w:hyperlink>
      <w:r>
        <w:rPr>
          <w:sz w:val="20"/>
          <w:szCs w:val="20"/>
        </w:rPr>
        <w:t>, www.fundacjapodaniolem.pl).</w:t>
      </w:r>
    </w:p>
    <w:p w14:paraId="5BFA3B5C" w14:textId="77777777" w:rsidR="00C366B6" w:rsidRDefault="00C366B6">
      <w:pPr>
        <w:ind w:left="0" w:hanging="2"/>
      </w:pPr>
    </w:p>
    <w:sectPr w:rsidR="00C366B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A8936" w14:textId="77777777" w:rsidR="00682AEB" w:rsidRDefault="00682AEB" w:rsidP="000B72FD">
      <w:pPr>
        <w:spacing w:after="0" w:line="240" w:lineRule="auto"/>
        <w:ind w:left="0" w:hanging="2"/>
      </w:pPr>
      <w:r>
        <w:separator/>
      </w:r>
    </w:p>
  </w:endnote>
  <w:endnote w:type="continuationSeparator" w:id="0">
    <w:p w14:paraId="70C69965" w14:textId="77777777" w:rsidR="00682AEB" w:rsidRDefault="00682AEB" w:rsidP="000B72F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3E3A7" w14:textId="77777777" w:rsidR="00682AEB" w:rsidRDefault="00682AEB" w:rsidP="000B72FD">
      <w:pPr>
        <w:spacing w:after="0" w:line="240" w:lineRule="auto"/>
        <w:ind w:left="0" w:hanging="2"/>
      </w:pPr>
      <w:r>
        <w:separator/>
      </w:r>
    </w:p>
  </w:footnote>
  <w:footnote w:type="continuationSeparator" w:id="0">
    <w:p w14:paraId="16E3B729" w14:textId="77777777" w:rsidR="00682AEB" w:rsidRDefault="00682AEB" w:rsidP="000B72F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BF7A" w14:textId="412DE9B1" w:rsidR="000B72FD" w:rsidRDefault="000B72FD">
    <w:pPr>
      <w:pStyle w:val="Nagwek"/>
      <w:ind w:left="0" w:hanging="2"/>
    </w:pPr>
    <w:r w:rsidRPr="002354CC">
      <w:rPr>
        <w:rFonts w:ascii="Arial" w:eastAsia="Arial" w:hAnsi="Arial" w:cs="Arial"/>
        <w:noProof/>
      </w:rPr>
      <w:drawing>
        <wp:inline distT="114300" distB="114300" distL="114300" distR="114300" wp14:anchorId="196AF52F" wp14:editId="0271CB7F">
          <wp:extent cx="5760720" cy="738505"/>
          <wp:effectExtent l="0" t="0" r="0" b="444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7385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2CA7"/>
    <w:multiLevelType w:val="hybridMultilevel"/>
    <w:tmpl w:val="BE9AA406"/>
    <w:lvl w:ilvl="0" w:tplc="04150019">
      <w:start w:val="1"/>
      <w:numFmt w:val="lowerLetter"/>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1" w15:restartNumberingAfterBreak="0">
    <w:nsid w:val="62702149"/>
    <w:multiLevelType w:val="hybridMultilevel"/>
    <w:tmpl w:val="E146FE30"/>
    <w:lvl w:ilvl="0" w:tplc="6B5662E6">
      <w:start w:val="1"/>
      <w:numFmt w:val="decimal"/>
      <w:lvlText w:val="%1."/>
      <w:lvlJc w:val="left"/>
      <w:pPr>
        <w:ind w:left="718" w:hanging="360"/>
      </w:pPr>
      <w:rPr>
        <w:b w:val="0"/>
        <w:color w:val="auto"/>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 w15:restartNumberingAfterBreak="0">
    <w:nsid w:val="755164B8"/>
    <w:multiLevelType w:val="hybridMultilevel"/>
    <w:tmpl w:val="BE9AA406"/>
    <w:lvl w:ilvl="0" w:tplc="04150019">
      <w:start w:val="1"/>
      <w:numFmt w:val="lowerLetter"/>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B6"/>
    <w:rsid w:val="000B72FD"/>
    <w:rsid w:val="00653811"/>
    <w:rsid w:val="00682AEB"/>
    <w:rsid w:val="009E057B"/>
    <w:rsid w:val="00C36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1275"/>
  <w15:chartTrackingRefBased/>
  <w15:docId w15:val="{134DCEDF-CD1F-49F8-B700-402C6526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0B72FD"/>
    <w:pPr>
      <w:suppressAutoHyphens/>
      <w:spacing w:after="200" w:line="276" w:lineRule="auto"/>
      <w:ind w:leftChars="-1" w:left="-1" w:hangingChars="1" w:hanging="1"/>
      <w:textDirection w:val="btLr"/>
      <w:textAlignment w:val="top"/>
      <w:outlineLvl w:val="0"/>
    </w:pPr>
    <w:rPr>
      <w:rFonts w:ascii="Calibri" w:eastAsia="Calibri" w:hAnsi="Calibri" w:cs="Calibri"/>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72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72FD"/>
  </w:style>
  <w:style w:type="paragraph" w:styleId="Stopka">
    <w:name w:val="footer"/>
    <w:basedOn w:val="Normalny"/>
    <w:link w:val="StopkaZnak"/>
    <w:uiPriority w:val="99"/>
    <w:unhideWhenUsed/>
    <w:rsid w:val="000B72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72FD"/>
  </w:style>
  <w:style w:type="paragraph" w:styleId="Akapitzlist">
    <w:name w:val="List Paragraph"/>
    <w:basedOn w:val="Normalny"/>
    <w:uiPriority w:val="34"/>
    <w:qFormat/>
    <w:rsid w:val="000B72FD"/>
    <w:pPr>
      <w:ind w:left="720"/>
      <w:contextualSpacing/>
    </w:pPr>
  </w:style>
  <w:style w:type="character" w:styleId="Hipercze">
    <w:name w:val="Hyperlink"/>
    <w:basedOn w:val="Domylnaczcionkaakapitu"/>
    <w:uiPriority w:val="99"/>
    <w:unhideWhenUsed/>
    <w:rsid w:val="000B72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fund.org" TargetMode="External"/><Relationship Id="rId3" Type="http://schemas.openxmlformats.org/officeDocument/2006/relationships/settings" Target="settings.xml"/><Relationship Id="rId7" Type="http://schemas.openxmlformats.org/officeDocument/2006/relationships/hyperlink" Target="http://www.liderpojezierz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3576</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IRuszkowska</dc:creator>
  <cp:keywords/>
  <dc:description/>
  <cp:lastModifiedBy>IRuszkowska</cp:lastModifiedBy>
  <cp:revision>3</cp:revision>
  <dcterms:created xsi:type="dcterms:W3CDTF">2020-06-24T09:11:00Z</dcterms:created>
  <dcterms:modified xsi:type="dcterms:W3CDTF">2020-06-26T10:46:00Z</dcterms:modified>
</cp:coreProperties>
</file>